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8272" w14:textId="77777777" w:rsidR="0028331D" w:rsidRPr="008A01EB" w:rsidRDefault="008F3D02" w:rsidP="008A01EB">
      <w:pPr>
        <w:ind w:right="-20"/>
        <w:jc w:val="center"/>
        <w:rPr>
          <w:rFonts w:ascii="Calibri" w:eastAsia="Book Antiqua" w:hAnsi="Calibri" w:cs="Book Antiqua"/>
          <w:sz w:val="28"/>
          <w:szCs w:val="28"/>
        </w:rPr>
      </w:pPr>
      <w:r w:rsidRPr="008A01EB">
        <w:rPr>
          <w:rFonts w:ascii="Calibri" w:hAnsi="Calibri"/>
          <w:b/>
          <w:sz w:val="28"/>
          <w:szCs w:val="28"/>
        </w:rPr>
        <w:t>OZNÁMENIE O SCHVÁLENÍ ŠTANDARDNEJ ZMENY</w:t>
      </w:r>
    </w:p>
    <w:p w14:paraId="19EC3FA9" w14:textId="30727717" w:rsidR="0028331D" w:rsidRDefault="0028331D" w:rsidP="008A01EB">
      <w:pPr>
        <w:spacing w:before="5"/>
        <w:ind w:right="-20"/>
        <w:rPr>
          <w:rFonts w:ascii="Calibri" w:eastAsia="Book Antiqua" w:hAnsi="Calibri" w:cs="Book Antiqua"/>
          <w:b/>
          <w:bCs/>
          <w:szCs w:val="14"/>
        </w:rPr>
      </w:pPr>
    </w:p>
    <w:p w14:paraId="324F7609" w14:textId="2D701874" w:rsidR="008A01EB" w:rsidRPr="008A01EB" w:rsidRDefault="008A01EB" w:rsidP="008A01EB">
      <w:pPr>
        <w:spacing w:before="5"/>
        <w:ind w:right="-20"/>
        <w:jc w:val="center"/>
        <w:rPr>
          <w:rFonts w:ascii="Calibri" w:eastAsia="Book Antiqua" w:hAnsi="Calibri" w:cs="Book Antiqua"/>
          <w:b/>
          <w:bCs/>
          <w:szCs w:val="14"/>
        </w:rPr>
      </w:pPr>
      <w:r w:rsidRPr="008A01EB">
        <w:rPr>
          <w:rFonts w:ascii="Calibri" w:hAnsi="Calibri"/>
          <w:b/>
          <w:bCs/>
        </w:rPr>
        <w:t>[článok 24 nariadenia (EÚ) 2024/1143]</w:t>
      </w:r>
    </w:p>
    <w:p w14:paraId="63729B37" w14:textId="4066E42C" w:rsidR="0028331D" w:rsidRPr="003172C0" w:rsidRDefault="0028331D" w:rsidP="008A01EB">
      <w:pPr>
        <w:rPr>
          <w:rFonts w:ascii="Calibri" w:eastAsia="Book Antiqua" w:hAnsi="Calibri" w:cs="Book Antiqua"/>
          <w:szCs w:val="21"/>
        </w:rPr>
      </w:pPr>
    </w:p>
    <w:p w14:paraId="464C3125" w14:textId="74062504" w:rsidR="008A01EB" w:rsidRPr="008A01EB" w:rsidRDefault="008A01EB" w:rsidP="008A01EB">
      <w:pPr>
        <w:rPr>
          <w:rFonts w:ascii="Calibri" w:eastAsia="Book Antiqua" w:hAnsi="Calibri" w:cs="Book Antiqua"/>
          <w:szCs w:val="21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8A01EB" w:rsidRPr="00E32399" w14:paraId="32D269C4" w14:textId="77777777" w:rsidTr="00A22695">
        <w:tc>
          <w:tcPr>
            <w:tcW w:w="563" w:type="dxa"/>
          </w:tcPr>
          <w:p w14:paraId="71C6E5D6" w14:textId="77777777" w:rsidR="008A01EB" w:rsidRPr="00E32399" w:rsidRDefault="008A01EB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32399">
              <w:rPr>
                <w:rFonts w:ascii="Calibri" w:eastAsia="Roboto" w:hAnsi="Calibri" w:cs="Roboto"/>
                <w:b/>
                <w:bCs/>
              </w:rPr>
              <w:t>1.</w:t>
            </w:r>
          </w:p>
        </w:tc>
        <w:tc>
          <w:tcPr>
            <w:tcW w:w="9799" w:type="dxa"/>
          </w:tcPr>
          <w:p w14:paraId="766C4650" w14:textId="77777777" w:rsidR="008A01EB" w:rsidRPr="00E32399" w:rsidRDefault="008A01EB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32399">
              <w:rPr>
                <w:rFonts w:ascii="Calibri" w:hAnsi="Calibri"/>
                <w:b/>
                <w:bCs/>
              </w:rPr>
              <w:t>Názov výrobku</w:t>
            </w:r>
          </w:p>
        </w:tc>
      </w:tr>
      <w:tr w:rsidR="008A01EB" w:rsidRPr="00E32399" w14:paraId="7D7299C3" w14:textId="77777777" w:rsidTr="00A22695">
        <w:tc>
          <w:tcPr>
            <w:tcW w:w="563" w:type="dxa"/>
          </w:tcPr>
          <w:p w14:paraId="4D306409" w14:textId="77777777" w:rsidR="008A01EB" w:rsidRPr="00E32399" w:rsidRDefault="008A01EB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547A9352" w14:textId="77777777" w:rsidR="008A01EB" w:rsidRPr="00E32399" w:rsidRDefault="008A01EB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E32399">
              <w:rPr>
                <w:rFonts w:ascii="Calibri" w:hAnsi="Calibri"/>
                <w:bCs/>
                <w:color w:val="010202"/>
              </w:rPr>
              <w:t>...</w:t>
            </w:r>
          </w:p>
        </w:tc>
      </w:tr>
      <w:tr w:rsidR="008A01EB" w:rsidRPr="00E32399" w14:paraId="2EA201B4" w14:textId="77777777" w:rsidTr="00A22695">
        <w:tc>
          <w:tcPr>
            <w:tcW w:w="563" w:type="dxa"/>
          </w:tcPr>
          <w:p w14:paraId="3081BA0A" w14:textId="77777777" w:rsidR="008A01EB" w:rsidRPr="00E32399" w:rsidRDefault="008A01EB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7BCAD032" w14:textId="77777777" w:rsidR="008A01EB" w:rsidRPr="00990399" w:rsidRDefault="008A01EB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</w:pPr>
            <w:r w:rsidRPr="00990399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990399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V znení zapísanom do registra</w:t>
            </w:r>
            <w:r w:rsidRPr="00990399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182833D4" w14:textId="77777777" w:rsidR="008A01EB" w:rsidRPr="00E32399" w:rsidRDefault="008A01EB" w:rsidP="008A01EB">
      <w:pPr>
        <w:ind w:left="120"/>
        <w:rPr>
          <w:rFonts w:ascii="Calibri" w:eastAsia="Roboto Thin" w:hAnsi="Calibri" w:cs="Roboto Thin"/>
        </w:rPr>
      </w:pPr>
    </w:p>
    <w:p w14:paraId="595912E6" w14:textId="77777777" w:rsidR="008A01EB" w:rsidRPr="00E32399" w:rsidRDefault="008A01EB" w:rsidP="008A01EB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8A01EB" w:rsidRPr="00E32399" w14:paraId="6F93CD93" w14:textId="77777777" w:rsidTr="00A22695">
        <w:tc>
          <w:tcPr>
            <w:tcW w:w="563" w:type="dxa"/>
          </w:tcPr>
          <w:p w14:paraId="4936D4F3" w14:textId="77777777" w:rsidR="008A01EB" w:rsidRPr="00E32399" w:rsidRDefault="008A01EB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32399">
              <w:rPr>
                <w:rFonts w:ascii="Calibri" w:eastAsia="Roboto" w:hAnsi="Calibri" w:cs="Roboto"/>
                <w:b/>
                <w:bCs/>
              </w:rPr>
              <w:t>2.</w:t>
            </w:r>
          </w:p>
        </w:tc>
        <w:tc>
          <w:tcPr>
            <w:tcW w:w="9799" w:type="dxa"/>
          </w:tcPr>
          <w:p w14:paraId="57944E7C" w14:textId="77777777" w:rsidR="008A01EB" w:rsidRPr="00E32399" w:rsidRDefault="008A01EB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32399">
              <w:rPr>
                <w:rFonts w:ascii="Calibri" w:hAnsi="Calibri"/>
                <w:b/>
                <w:bCs/>
              </w:rPr>
              <w:t>Druh zemepisného označenia</w:t>
            </w:r>
          </w:p>
        </w:tc>
      </w:tr>
      <w:tr w:rsidR="008A01EB" w:rsidRPr="00E32399" w14:paraId="5F94834B" w14:textId="77777777" w:rsidTr="00A22695">
        <w:tc>
          <w:tcPr>
            <w:tcW w:w="563" w:type="dxa"/>
          </w:tcPr>
          <w:p w14:paraId="14427B23" w14:textId="77777777" w:rsidR="008A01EB" w:rsidRPr="00E32399" w:rsidRDefault="008A01EB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557AB592" w14:textId="517F49FB" w:rsidR="008A01EB" w:rsidRPr="00E32399" w:rsidRDefault="008A01EB" w:rsidP="00A22695">
            <w:pPr>
              <w:tabs>
                <w:tab w:val="left" w:pos="1131"/>
                <w:tab w:val="left" w:pos="3619"/>
                <w:tab w:val="left" w:pos="5160"/>
                <w:tab w:val="left" w:pos="6879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990399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[</w:t>
            </w:r>
            <w:r w:rsidRPr="00990399">
              <w:rPr>
                <w:rFonts w:ascii="Calibri" w:eastAsia="Book Antiqua" w:hAnsi="Calibri" w:cs="Book Antiqua"/>
                <w:i/>
                <w:color w:val="595959" w:themeColor="text1" w:themeTint="A6"/>
                <w:sz w:val="18"/>
                <w:szCs w:val="18"/>
              </w:rPr>
              <w:t>Označte príslušné políčko symbolom „X“</w:t>
            </w:r>
            <w:r w:rsidRPr="00990399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]</w:t>
            </w:r>
            <w:r w:rsidRPr="00990399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ab/>
            </w:r>
            <w:r w:rsidRPr="00E32399">
              <w:rPr>
                <w:rFonts w:ascii="Calibri" w:hAnsi="Calibri"/>
              </w:rPr>
              <w:t xml:space="preserve">CHOP  </w:t>
            </w:r>
            <w:r w:rsidR="003217F6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7F6">
              <w:rPr>
                <w:sz w:val="16"/>
              </w:rPr>
              <w:instrText xml:space="preserve"> FORMCHECKBOX </w:instrText>
            </w:r>
            <w:r w:rsidR="0052438B">
              <w:rPr>
                <w:sz w:val="16"/>
              </w:rPr>
            </w:r>
            <w:r w:rsidR="0052438B">
              <w:rPr>
                <w:sz w:val="16"/>
              </w:rPr>
              <w:fldChar w:fldCharType="separate"/>
            </w:r>
            <w:r w:rsidR="003217F6">
              <w:rPr>
                <w:sz w:val="16"/>
              </w:rPr>
              <w:fldChar w:fldCharType="end"/>
            </w:r>
            <w:r w:rsidRPr="00E32399">
              <w:rPr>
                <w:rFonts w:ascii="Calibri" w:hAnsi="Calibri"/>
              </w:rPr>
              <w:tab/>
              <w:t xml:space="preserve">CHZO  </w:t>
            </w:r>
            <w:r w:rsidR="003217F6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7F6">
              <w:rPr>
                <w:sz w:val="16"/>
              </w:rPr>
              <w:instrText xml:space="preserve"> FORMCHECKBOX </w:instrText>
            </w:r>
            <w:r w:rsidR="0052438B">
              <w:rPr>
                <w:sz w:val="16"/>
              </w:rPr>
            </w:r>
            <w:r w:rsidR="0052438B">
              <w:rPr>
                <w:sz w:val="16"/>
              </w:rPr>
              <w:fldChar w:fldCharType="separate"/>
            </w:r>
            <w:r w:rsidR="003217F6">
              <w:rPr>
                <w:sz w:val="16"/>
              </w:rPr>
              <w:fldChar w:fldCharType="end"/>
            </w:r>
            <w:r w:rsidRPr="00E32399">
              <w:rPr>
                <w:sz w:val="16"/>
              </w:rPr>
              <w:tab/>
            </w:r>
            <w:r w:rsidRPr="00E32399">
              <w:rPr>
                <w:rFonts w:ascii="Calibri" w:hAnsi="Calibri"/>
              </w:rPr>
              <w:t xml:space="preserve">ZO  </w:t>
            </w:r>
            <w:r w:rsidRPr="00E32399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399">
              <w:rPr>
                <w:sz w:val="16"/>
              </w:rPr>
              <w:instrText xml:space="preserve"> FORMCHECKBOX </w:instrText>
            </w:r>
            <w:r w:rsidR="0052438B">
              <w:rPr>
                <w:sz w:val="16"/>
              </w:rPr>
            </w:r>
            <w:r w:rsidR="0052438B">
              <w:rPr>
                <w:sz w:val="16"/>
              </w:rPr>
              <w:fldChar w:fldCharType="separate"/>
            </w:r>
            <w:r w:rsidRPr="00E32399">
              <w:rPr>
                <w:sz w:val="16"/>
              </w:rPr>
              <w:fldChar w:fldCharType="end"/>
            </w:r>
          </w:p>
        </w:tc>
      </w:tr>
    </w:tbl>
    <w:p w14:paraId="5F7DCB9B" w14:textId="77777777" w:rsidR="008A01EB" w:rsidRPr="00E32399" w:rsidRDefault="008A01EB" w:rsidP="008A01EB">
      <w:pPr>
        <w:ind w:left="120"/>
        <w:rPr>
          <w:rFonts w:ascii="Calibri" w:eastAsia="Roboto Thin" w:hAnsi="Calibri" w:cs="Roboto Thin"/>
        </w:rPr>
      </w:pPr>
    </w:p>
    <w:p w14:paraId="77F8E0B5" w14:textId="77777777" w:rsidR="008A01EB" w:rsidRPr="00E32399" w:rsidRDefault="008A01EB" w:rsidP="008A01EB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8A01EB" w:rsidRPr="00E32399" w14:paraId="38489FEA" w14:textId="77777777" w:rsidTr="00A22695">
        <w:tc>
          <w:tcPr>
            <w:tcW w:w="563" w:type="dxa"/>
          </w:tcPr>
          <w:p w14:paraId="21D17312" w14:textId="77777777" w:rsidR="008A01EB" w:rsidRPr="00E32399" w:rsidRDefault="008A01EB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32399">
              <w:rPr>
                <w:rFonts w:ascii="Calibri" w:eastAsia="Roboto" w:hAnsi="Calibri" w:cs="Roboto"/>
                <w:b/>
                <w:bCs/>
              </w:rPr>
              <w:t>3.</w:t>
            </w:r>
          </w:p>
        </w:tc>
        <w:tc>
          <w:tcPr>
            <w:tcW w:w="9799" w:type="dxa"/>
          </w:tcPr>
          <w:p w14:paraId="7B3841FE" w14:textId="77777777" w:rsidR="008A01EB" w:rsidRPr="00E32399" w:rsidRDefault="008A01EB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E32399">
              <w:rPr>
                <w:rFonts w:ascii="Calibri" w:hAnsi="Calibri"/>
                <w:b/>
                <w:bCs/>
              </w:rPr>
              <w:t xml:space="preserve">Odvetvie </w:t>
            </w:r>
          </w:p>
        </w:tc>
      </w:tr>
      <w:tr w:rsidR="008A01EB" w:rsidRPr="00E32399" w14:paraId="72460E10" w14:textId="77777777" w:rsidTr="00A22695">
        <w:tc>
          <w:tcPr>
            <w:tcW w:w="563" w:type="dxa"/>
          </w:tcPr>
          <w:p w14:paraId="552BAA8D" w14:textId="77777777" w:rsidR="008A01EB" w:rsidRPr="00E32399" w:rsidRDefault="008A01EB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073AB533" w14:textId="77777777" w:rsidR="008A01EB" w:rsidRPr="00E32399" w:rsidRDefault="008A01EB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sz w:val="18"/>
                <w:szCs w:val="18"/>
              </w:rPr>
            </w:pPr>
            <w:r w:rsidRPr="00990399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[</w:t>
            </w:r>
            <w:r w:rsidRPr="00990399">
              <w:rPr>
                <w:rFonts w:ascii="Calibri" w:eastAsia="Book Antiqua" w:hAnsi="Calibri" w:cs="Book Antiqua"/>
                <w:i/>
                <w:color w:val="595959" w:themeColor="text1" w:themeTint="A6"/>
                <w:sz w:val="18"/>
                <w:szCs w:val="18"/>
              </w:rPr>
              <w:t>Označte príslušné políčko symbolom „X“</w:t>
            </w:r>
            <w:r w:rsidRPr="00990399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 xml:space="preserve">] </w:t>
            </w:r>
          </w:p>
        </w:tc>
      </w:tr>
      <w:tr w:rsidR="008A01EB" w:rsidRPr="00E32399" w14:paraId="17F9AE98" w14:textId="77777777" w:rsidTr="00A22695">
        <w:tc>
          <w:tcPr>
            <w:tcW w:w="563" w:type="dxa"/>
          </w:tcPr>
          <w:p w14:paraId="04965FEC" w14:textId="77777777" w:rsidR="008A01EB" w:rsidRPr="00E32399" w:rsidRDefault="008A01EB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17EA87A0" w14:textId="77777777" w:rsidR="008A01EB" w:rsidRPr="00E32399" w:rsidRDefault="008A01EB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</w:rPr>
            </w:pPr>
            <w:r w:rsidRPr="00E32399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399">
              <w:rPr>
                <w:sz w:val="16"/>
              </w:rPr>
              <w:instrText xml:space="preserve"> FORMCHECKBOX </w:instrText>
            </w:r>
            <w:r w:rsidR="0052438B">
              <w:rPr>
                <w:sz w:val="16"/>
              </w:rPr>
            </w:r>
            <w:r w:rsidR="0052438B">
              <w:rPr>
                <w:sz w:val="16"/>
              </w:rPr>
              <w:fldChar w:fldCharType="separate"/>
            </w:r>
            <w:r w:rsidRPr="00E32399">
              <w:rPr>
                <w:sz w:val="16"/>
              </w:rPr>
              <w:fldChar w:fldCharType="end"/>
            </w:r>
            <w:r w:rsidRPr="00E32399">
              <w:t xml:space="preserve">  </w:t>
            </w:r>
            <w:r w:rsidRPr="00E32399">
              <w:rPr>
                <w:rFonts w:ascii="Calibri" w:eastAsia="Roboto Thin" w:hAnsi="Calibri" w:cs="Roboto Thin"/>
              </w:rPr>
              <w:t>poľnohospodárske výrobky</w:t>
            </w:r>
          </w:p>
          <w:p w14:paraId="1B61C305" w14:textId="77777777" w:rsidR="008A01EB" w:rsidRPr="00E32399" w:rsidRDefault="008A01EB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</w:pPr>
            <w:r w:rsidRPr="00E32399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399">
              <w:rPr>
                <w:sz w:val="16"/>
              </w:rPr>
              <w:instrText xml:space="preserve"> FORMCHECKBOX </w:instrText>
            </w:r>
            <w:r w:rsidR="0052438B">
              <w:rPr>
                <w:sz w:val="16"/>
              </w:rPr>
            </w:r>
            <w:r w:rsidR="0052438B">
              <w:rPr>
                <w:sz w:val="16"/>
              </w:rPr>
              <w:fldChar w:fldCharType="separate"/>
            </w:r>
            <w:r w:rsidRPr="00E32399">
              <w:rPr>
                <w:sz w:val="16"/>
              </w:rPr>
              <w:fldChar w:fldCharType="end"/>
            </w:r>
            <w:r w:rsidRPr="00E32399">
              <w:t xml:space="preserve">  vína</w:t>
            </w:r>
          </w:p>
          <w:p w14:paraId="10834BA5" w14:textId="77777777" w:rsidR="008A01EB" w:rsidRPr="00E32399" w:rsidRDefault="008A01EB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color w:val="595959" w:themeColor="text1" w:themeTint="A6"/>
                <w:sz w:val="18"/>
                <w:szCs w:val="18"/>
              </w:rPr>
            </w:pPr>
            <w:r w:rsidRPr="00E32399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399">
              <w:rPr>
                <w:sz w:val="16"/>
              </w:rPr>
              <w:instrText xml:space="preserve"> FORMCHECKBOX </w:instrText>
            </w:r>
            <w:r w:rsidR="0052438B">
              <w:rPr>
                <w:sz w:val="16"/>
              </w:rPr>
            </w:r>
            <w:r w:rsidR="0052438B">
              <w:rPr>
                <w:sz w:val="16"/>
              </w:rPr>
              <w:fldChar w:fldCharType="separate"/>
            </w:r>
            <w:r w:rsidRPr="00E32399">
              <w:rPr>
                <w:sz w:val="16"/>
              </w:rPr>
              <w:fldChar w:fldCharType="end"/>
            </w:r>
            <w:r w:rsidRPr="00E32399">
              <w:t xml:space="preserve">  liehoviny</w:t>
            </w:r>
          </w:p>
        </w:tc>
      </w:tr>
    </w:tbl>
    <w:p w14:paraId="60ABB2CA" w14:textId="77777777" w:rsidR="008A01EB" w:rsidRPr="00E32399" w:rsidRDefault="008A01EB" w:rsidP="008A01EB">
      <w:pPr>
        <w:ind w:left="120"/>
        <w:rPr>
          <w:rFonts w:ascii="Calibri" w:eastAsia="Roboto Thin" w:hAnsi="Calibri" w:cs="Roboto Thin"/>
        </w:rPr>
      </w:pPr>
    </w:p>
    <w:p w14:paraId="35F6EAB7" w14:textId="77777777" w:rsidR="008A01EB" w:rsidRDefault="008A01EB" w:rsidP="008A01EB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8A01EB" w:rsidRPr="00E32399" w14:paraId="796EBC59" w14:textId="77777777" w:rsidTr="00A22695">
        <w:tc>
          <w:tcPr>
            <w:tcW w:w="563" w:type="dxa"/>
          </w:tcPr>
          <w:p w14:paraId="5C974792" w14:textId="77777777" w:rsidR="008A01EB" w:rsidRPr="00E32399" w:rsidRDefault="008A01EB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4</w:t>
            </w:r>
            <w:r w:rsidRPr="00E32399">
              <w:rPr>
                <w:rFonts w:ascii="Calibri" w:eastAsia="Roboto" w:hAnsi="Calibri" w:cs="Roboto"/>
                <w:b/>
                <w:bCs/>
              </w:rPr>
              <w:t>.</w:t>
            </w:r>
          </w:p>
        </w:tc>
        <w:tc>
          <w:tcPr>
            <w:tcW w:w="9799" w:type="dxa"/>
          </w:tcPr>
          <w:p w14:paraId="32A184C1" w14:textId="77777777" w:rsidR="008A01EB" w:rsidRPr="002E58E7" w:rsidRDefault="008A01EB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2E58E7">
              <w:rPr>
                <w:rFonts w:ascii="Calibri" w:hAnsi="Calibri"/>
                <w:b/>
                <w:bCs/>
              </w:rPr>
              <w:t>Tretia krajina, ku ktorej zemepisná oblasť patrí</w:t>
            </w:r>
          </w:p>
        </w:tc>
      </w:tr>
      <w:tr w:rsidR="008A01EB" w:rsidRPr="00E32399" w14:paraId="54494398" w14:textId="77777777" w:rsidTr="00A22695">
        <w:tc>
          <w:tcPr>
            <w:tcW w:w="563" w:type="dxa"/>
          </w:tcPr>
          <w:p w14:paraId="283C932D" w14:textId="77777777" w:rsidR="008A01EB" w:rsidRPr="00E32399" w:rsidRDefault="008A01EB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36E6EE1B" w14:textId="77777777" w:rsidR="008A01EB" w:rsidRPr="00E32399" w:rsidRDefault="008A01EB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E32399">
              <w:rPr>
                <w:rFonts w:ascii="Calibri" w:hAnsi="Calibri"/>
                <w:bCs/>
                <w:color w:val="010202"/>
              </w:rPr>
              <w:t>...</w:t>
            </w:r>
          </w:p>
        </w:tc>
      </w:tr>
    </w:tbl>
    <w:p w14:paraId="19B30A7E" w14:textId="77777777" w:rsidR="008A01EB" w:rsidRDefault="008A01EB" w:rsidP="008A01EB">
      <w:pPr>
        <w:ind w:left="120"/>
        <w:rPr>
          <w:rFonts w:ascii="Calibri" w:eastAsia="Roboto Thin" w:hAnsi="Calibri" w:cs="Roboto Thin"/>
        </w:rPr>
      </w:pPr>
    </w:p>
    <w:p w14:paraId="04A64950" w14:textId="77777777" w:rsidR="008A01EB" w:rsidRPr="00E32399" w:rsidRDefault="008A01EB" w:rsidP="008A01EB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8A01EB" w:rsidRPr="00E32399" w14:paraId="5E6E47A7" w14:textId="77777777" w:rsidTr="00A22695">
        <w:tc>
          <w:tcPr>
            <w:tcW w:w="563" w:type="dxa"/>
          </w:tcPr>
          <w:p w14:paraId="196308CA" w14:textId="661345C0" w:rsidR="008A01EB" w:rsidRPr="00E32399" w:rsidRDefault="008A01EB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5</w:t>
            </w:r>
            <w:r w:rsidRPr="00E32399">
              <w:rPr>
                <w:rFonts w:ascii="Calibri" w:eastAsia="Roboto" w:hAnsi="Calibri" w:cs="Roboto"/>
                <w:b/>
                <w:bCs/>
              </w:rPr>
              <w:t>.</w:t>
            </w:r>
          </w:p>
        </w:tc>
        <w:tc>
          <w:tcPr>
            <w:tcW w:w="9799" w:type="dxa"/>
          </w:tcPr>
          <w:p w14:paraId="0754E1FC" w14:textId="7F556AE7" w:rsidR="008A01EB" w:rsidRPr="008A01EB" w:rsidRDefault="008A01EB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8A01EB">
              <w:rPr>
                <w:rFonts w:ascii="Calibri" w:hAnsi="Calibri"/>
                <w:b/>
                <w:bCs/>
              </w:rPr>
              <w:t>Názov orgánov tretej krajiny alebo skupiny výrobcov, usadených alebo majúcich bydlisko v tretej krajine, ktorí štandardnú zmenu oznamujú Komisii</w:t>
            </w:r>
          </w:p>
        </w:tc>
      </w:tr>
      <w:tr w:rsidR="008A01EB" w:rsidRPr="00E32399" w14:paraId="500504D7" w14:textId="77777777" w:rsidTr="00A22695">
        <w:tc>
          <w:tcPr>
            <w:tcW w:w="563" w:type="dxa"/>
          </w:tcPr>
          <w:p w14:paraId="47BFB9F8" w14:textId="77777777" w:rsidR="008A01EB" w:rsidRPr="00E32399" w:rsidRDefault="008A01EB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214E32F1" w14:textId="77777777" w:rsidR="008A01EB" w:rsidRPr="00E32399" w:rsidRDefault="008A01EB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E32399">
              <w:rPr>
                <w:rFonts w:ascii="Calibri" w:hAnsi="Calibri"/>
                <w:bCs/>
                <w:color w:val="010202"/>
              </w:rPr>
              <w:t>...</w:t>
            </w:r>
          </w:p>
        </w:tc>
      </w:tr>
    </w:tbl>
    <w:p w14:paraId="6B979C45" w14:textId="77777777" w:rsidR="008A01EB" w:rsidRDefault="008A01EB" w:rsidP="008A01EB">
      <w:pPr>
        <w:ind w:left="120"/>
        <w:rPr>
          <w:rFonts w:ascii="Calibri" w:eastAsia="Roboto Thin" w:hAnsi="Calibri" w:cs="Roboto Thin"/>
        </w:rPr>
      </w:pPr>
    </w:p>
    <w:p w14:paraId="3253000C" w14:textId="77777777" w:rsidR="008A01EB" w:rsidRPr="00E32399" w:rsidRDefault="008A01EB" w:rsidP="008A01EB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8A01EB" w:rsidRPr="00E32399" w14:paraId="7BDC3402" w14:textId="77777777" w:rsidTr="00A22695">
        <w:tc>
          <w:tcPr>
            <w:tcW w:w="563" w:type="dxa"/>
          </w:tcPr>
          <w:p w14:paraId="5A6B14FC" w14:textId="382FE4C0" w:rsidR="008A01EB" w:rsidRPr="00E32399" w:rsidRDefault="008A01EB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6</w:t>
            </w:r>
            <w:r w:rsidRPr="00E32399">
              <w:rPr>
                <w:rFonts w:ascii="Calibri" w:eastAsia="Roboto" w:hAnsi="Calibri" w:cs="Roboto"/>
                <w:b/>
                <w:bCs/>
              </w:rPr>
              <w:t>.</w:t>
            </w:r>
          </w:p>
        </w:tc>
        <w:tc>
          <w:tcPr>
            <w:tcW w:w="9799" w:type="dxa"/>
          </w:tcPr>
          <w:p w14:paraId="5910FD8F" w14:textId="46543353" w:rsidR="008A01EB" w:rsidRPr="008A01EB" w:rsidRDefault="008A01EB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8A01EB">
              <w:rPr>
                <w:rFonts w:ascii="Calibri" w:hAnsi="Calibri"/>
                <w:b/>
                <w:bCs/>
              </w:rPr>
              <w:t>Dôvod na štandardnú zmenu</w:t>
            </w:r>
          </w:p>
        </w:tc>
      </w:tr>
      <w:tr w:rsidR="008A01EB" w:rsidRPr="00E32399" w14:paraId="03EA5824" w14:textId="77777777" w:rsidTr="00A22695">
        <w:tc>
          <w:tcPr>
            <w:tcW w:w="563" w:type="dxa"/>
          </w:tcPr>
          <w:p w14:paraId="49C4217E" w14:textId="77777777" w:rsidR="008A01EB" w:rsidRPr="00E32399" w:rsidRDefault="008A01EB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0445C6DA" w14:textId="77777777" w:rsidR="008A01EB" w:rsidRPr="00E32399" w:rsidRDefault="008A01EB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E32399">
              <w:rPr>
                <w:rFonts w:ascii="Calibri" w:hAnsi="Calibri"/>
                <w:bCs/>
                <w:color w:val="010202"/>
              </w:rPr>
              <w:t>...</w:t>
            </w:r>
          </w:p>
        </w:tc>
      </w:tr>
      <w:tr w:rsidR="008A01EB" w:rsidRPr="00E32399" w14:paraId="300709FC" w14:textId="77777777" w:rsidTr="00A22695">
        <w:tc>
          <w:tcPr>
            <w:tcW w:w="563" w:type="dxa"/>
          </w:tcPr>
          <w:p w14:paraId="5044005E" w14:textId="77777777" w:rsidR="008A01EB" w:rsidRPr="00E32399" w:rsidRDefault="008A01EB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5BCF0531" w14:textId="405FC225" w:rsidR="008A01EB" w:rsidRPr="008A01EB" w:rsidRDefault="008A01EB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</w:pPr>
            <w:r w:rsidRPr="008A01EB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8A01EB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Vysvetlite, prečo zmena zodpovedá definícii štandardnej zmeny uvedenej v článku 24 ods. 4 nariadenia (EÚ) 2024/1143</w:t>
            </w:r>
            <w:r w:rsidRPr="008A01EB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].</w:t>
            </w:r>
          </w:p>
        </w:tc>
      </w:tr>
    </w:tbl>
    <w:p w14:paraId="1916D294" w14:textId="77777777" w:rsidR="008A01EB" w:rsidRPr="00E32399" w:rsidRDefault="008A01EB" w:rsidP="008A01EB">
      <w:pPr>
        <w:ind w:left="120"/>
        <w:rPr>
          <w:rFonts w:ascii="Calibri" w:eastAsia="Roboto Thin" w:hAnsi="Calibri" w:cs="Roboto Thin"/>
        </w:rPr>
      </w:pPr>
    </w:p>
    <w:p w14:paraId="1B993CED" w14:textId="77777777" w:rsidR="008A01EB" w:rsidRPr="00E32399" w:rsidRDefault="008A01EB" w:rsidP="008A01EB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8A01EB" w:rsidRPr="00E32399" w14:paraId="675C1A2E" w14:textId="77777777" w:rsidTr="00A22695">
        <w:tc>
          <w:tcPr>
            <w:tcW w:w="563" w:type="dxa"/>
          </w:tcPr>
          <w:p w14:paraId="2BC0A6FB" w14:textId="17ED51C5" w:rsidR="008A01EB" w:rsidRPr="00E32399" w:rsidRDefault="008A01EB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7</w:t>
            </w:r>
            <w:r w:rsidRPr="00E32399">
              <w:rPr>
                <w:rFonts w:ascii="Calibri" w:eastAsia="Roboto" w:hAnsi="Calibri" w:cs="Roboto"/>
                <w:b/>
                <w:bCs/>
              </w:rPr>
              <w:t>.</w:t>
            </w:r>
          </w:p>
        </w:tc>
        <w:tc>
          <w:tcPr>
            <w:tcW w:w="9799" w:type="dxa"/>
          </w:tcPr>
          <w:p w14:paraId="18D2BAFC" w14:textId="38835E52" w:rsidR="008A01EB" w:rsidRPr="008A01EB" w:rsidRDefault="008A01EB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8A01EB">
              <w:rPr>
                <w:rFonts w:ascii="Calibri" w:hAnsi="Calibri"/>
                <w:b/>
                <w:bCs/>
              </w:rPr>
              <w:t>Opis schválenej štandardnej zmeny (schválených štandardných zmien)</w:t>
            </w:r>
          </w:p>
        </w:tc>
      </w:tr>
      <w:tr w:rsidR="008A01EB" w:rsidRPr="00E32399" w14:paraId="6D3BD726" w14:textId="77777777" w:rsidTr="00A22695">
        <w:tc>
          <w:tcPr>
            <w:tcW w:w="563" w:type="dxa"/>
          </w:tcPr>
          <w:p w14:paraId="53653F3C" w14:textId="77777777" w:rsidR="008A01EB" w:rsidRPr="00E32399" w:rsidRDefault="008A01EB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6E37C98B" w14:textId="77777777" w:rsidR="008A01EB" w:rsidRPr="00E32399" w:rsidRDefault="008A01EB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E32399">
              <w:rPr>
                <w:rFonts w:ascii="Calibri" w:hAnsi="Calibri"/>
                <w:bCs/>
                <w:color w:val="010202"/>
              </w:rPr>
              <w:t>...</w:t>
            </w:r>
          </w:p>
        </w:tc>
      </w:tr>
      <w:tr w:rsidR="008A01EB" w:rsidRPr="00E32399" w14:paraId="0B1BF6F8" w14:textId="77777777" w:rsidTr="00A22695">
        <w:tc>
          <w:tcPr>
            <w:tcW w:w="563" w:type="dxa"/>
          </w:tcPr>
          <w:p w14:paraId="2BB9BE2C" w14:textId="77777777" w:rsidR="008A01EB" w:rsidRPr="00E32399" w:rsidRDefault="008A01EB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0FC17115" w14:textId="4DB81EA3" w:rsidR="008A01EB" w:rsidRPr="008A01EB" w:rsidRDefault="008A01EB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</w:pPr>
            <w:r w:rsidRPr="008A01EB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8A01EB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Uveďte opis štandardnej zmeny (štandardných zmien). Uveďte, či sa zmena týka aj jednotného dokumentu.</w:t>
            </w:r>
            <w:r w:rsidRPr="008A01EB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4ADE2E62" w14:textId="77777777" w:rsidR="008A01EB" w:rsidRPr="00E32399" w:rsidRDefault="008A01EB" w:rsidP="008A01EB">
      <w:pPr>
        <w:ind w:left="120"/>
        <w:rPr>
          <w:rFonts w:ascii="Calibri" w:eastAsia="Roboto Thin" w:hAnsi="Calibri" w:cs="Roboto Thin"/>
        </w:rPr>
      </w:pPr>
    </w:p>
    <w:p w14:paraId="48A63879" w14:textId="25D435AA" w:rsidR="008A01EB" w:rsidRDefault="008A01EB" w:rsidP="008A01EB">
      <w:pPr>
        <w:ind w:left="120"/>
        <w:rPr>
          <w:rFonts w:ascii="Calibri" w:eastAsia="Roboto Thin" w:hAnsi="Calibri" w:cs="Roboto Thin"/>
        </w:rPr>
      </w:pPr>
    </w:p>
    <w:p w14:paraId="591B7DBE" w14:textId="57FE1CBE" w:rsidR="008F3D02" w:rsidRDefault="008F3D02" w:rsidP="008A01EB">
      <w:pPr>
        <w:ind w:left="120"/>
        <w:rPr>
          <w:rFonts w:ascii="Calibri" w:eastAsia="Roboto Thin" w:hAnsi="Calibri" w:cs="Roboto Thin"/>
        </w:rPr>
      </w:pPr>
    </w:p>
    <w:p w14:paraId="4AA19710" w14:textId="77777777" w:rsidR="008F3D02" w:rsidRDefault="008F3D02" w:rsidP="008A01EB">
      <w:pPr>
        <w:ind w:left="120"/>
        <w:rPr>
          <w:rFonts w:ascii="Calibri" w:eastAsia="Roboto Thin" w:hAnsi="Calibri" w:cs="Roboto Thin"/>
        </w:rPr>
      </w:pPr>
    </w:p>
    <w:p w14:paraId="5873EFBE" w14:textId="772A96C7" w:rsidR="008F3D02" w:rsidRPr="008F3D02" w:rsidRDefault="008F3D02" w:rsidP="003217F6">
      <w:pPr>
        <w:spacing w:beforeLines="45" w:before="108" w:after="45"/>
        <w:ind w:left="120"/>
        <w:rPr>
          <w:rFonts w:ascii="Calibri" w:eastAsia="Roboto Thin" w:hAnsi="Calibri" w:cs="Roboto Thin"/>
          <w:b/>
          <w:bCs/>
        </w:rPr>
      </w:pPr>
      <w:r w:rsidRPr="008F3D02">
        <w:rPr>
          <w:rFonts w:ascii="Calibri" w:hAnsi="Calibri"/>
          <w:b/>
          <w:bCs/>
        </w:rPr>
        <w:t>Prílohy</w:t>
      </w:r>
    </w:p>
    <w:p w14:paraId="6F5A4B60" w14:textId="77777777" w:rsidR="0028331D" w:rsidRPr="008A01EB" w:rsidRDefault="008F3D02" w:rsidP="003217F6">
      <w:pPr>
        <w:pStyle w:val="Zkladntext"/>
        <w:numPr>
          <w:ilvl w:val="0"/>
          <w:numId w:val="4"/>
        </w:numPr>
        <w:spacing w:beforeLines="45" w:before="108" w:after="45"/>
        <w:ind w:left="426" w:right="-20" w:hanging="284"/>
        <w:rPr>
          <w:rFonts w:ascii="Calibri" w:hAnsi="Calibri"/>
          <w:sz w:val="22"/>
        </w:rPr>
      </w:pPr>
      <w:r w:rsidRPr="008A01EB">
        <w:rPr>
          <w:rFonts w:ascii="Calibri" w:hAnsi="Calibri"/>
          <w:sz w:val="22"/>
        </w:rPr>
        <w:t>Rozhodnutie schvaľujúce štandardnú zmenu prijaté v tretej krajine.</w:t>
      </w:r>
    </w:p>
    <w:p w14:paraId="0CB17C5D" w14:textId="579CF6B2" w:rsidR="0028331D" w:rsidRPr="008A01EB" w:rsidRDefault="008F3D02" w:rsidP="003217F6">
      <w:pPr>
        <w:pStyle w:val="Zkladntext"/>
        <w:numPr>
          <w:ilvl w:val="0"/>
          <w:numId w:val="4"/>
        </w:numPr>
        <w:spacing w:beforeLines="45" w:before="108" w:after="45" w:line="214" w:lineRule="exact"/>
        <w:ind w:left="426" w:right="-20" w:hanging="284"/>
        <w:jc w:val="both"/>
        <w:rPr>
          <w:rFonts w:ascii="Calibri" w:hAnsi="Calibri"/>
          <w:sz w:val="22"/>
        </w:rPr>
      </w:pPr>
      <w:r w:rsidRPr="008A01EB">
        <w:rPr>
          <w:rFonts w:ascii="Calibri" w:hAnsi="Calibri"/>
          <w:sz w:val="22"/>
        </w:rPr>
        <w:t xml:space="preserve">Konsolidovaný jednotný dokument v znení zmien, ak je to relevantné, alebo v prípade uvedenom v článku 5 </w:t>
      </w:r>
      <w:r>
        <w:rPr>
          <w:rFonts w:ascii="Calibri" w:hAnsi="Calibri"/>
          <w:sz w:val="22"/>
        </w:rPr>
        <w:br/>
      </w:r>
      <w:r w:rsidRPr="008A01EB">
        <w:rPr>
          <w:rFonts w:ascii="Calibri" w:hAnsi="Calibri"/>
          <w:sz w:val="22"/>
        </w:rPr>
        <w:t>ods. 12 delegovaného nariadenia (EÚ) 2025/27 jednotný dokument.</w:t>
      </w:r>
    </w:p>
    <w:p w14:paraId="6D7A5C63" w14:textId="77777777" w:rsidR="0028331D" w:rsidRPr="008A01EB" w:rsidRDefault="008F3D02" w:rsidP="003217F6">
      <w:pPr>
        <w:pStyle w:val="Zkladntext"/>
        <w:numPr>
          <w:ilvl w:val="0"/>
          <w:numId w:val="4"/>
        </w:numPr>
        <w:spacing w:beforeLines="45" w:before="108" w:after="45"/>
        <w:ind w:left="426" w:right="-20" w:hanging="284"/>
        <w:rPr>
          <w:rFonts w:ascii="Calibri" w:hAnsi="Calibri"/>
          <w:sz w:val="22"/>
        </w:rPr>
      </w:pPr>
      <w:r w:rsidRPr="008A01EB">
        <w:rPr>
          <w:rFonts w:ascii="Calibri" w:hAnsi="Calibri"/>
          <w:sz w:val="22"/>
        </w:rPr>
        <w:t>Konsolidovaná špecifikácia výrobku v znení zmien.</w:t>
      </w:r>
    </w:p>
    <w:p w14:paraId="022F1D30" w14:textId="77777777" w:rsidR="0028331D" w:rsidRPr="008A01EB" w:rsidRDefault="008F3D02" w:rsidP="003217F6">
      <w:pPr>
        <w:pStyle w:val="Zkladntext"/>
        <w:numPr>
          <w:ilvl w:val="0"/>
          <w:numId w:val="4"/>
        </w:numPr>
        <w:spacing w:beforeLines="45" w:before="108" w:after="45"/>
        <w:ind w:left="426" w:right="-20" w:hanging="284"/>
        <w:rPr>
          <w:rFonts w:ascii="Calibri" w:hAnsi="Calibri"/>
          <w:sz w:val="22"/>
        </w:rPr>
      </w:pPr>
      <w:r w:rsidRPr="008A01EB">
        <w:rPr>
          <w:rFonts w:ascii="Calibri" w:hAnsi="Calibri"/>
          <w:sz w:val="22"/>
        </w:rPr>
        <w:t>Dôkaz, že zmena je uplatniteľná v tretej krajine.</w:t>
      </w:r>
    </w:p>
    <w:p w14:paraId="053FCA8F" w14:textId="5537953F" w:rsidR="0028331D" w:rsidRPr="008F3D02" w:rsidRDefault="008F3D02" w:rsidP="003217F6">
      <w:pPr>
        <w:pStyle w:val="Zkladntext"/>
        <w:numPr>
          <w:ilvl w:val="0"/>
          <w:numId w:val="4"/>
        </w:numPr>
        <w:spacing w:beforeLines="45" w:before="108" w:after="45" w:line="20" w:lineRule="atLeast"/>
        <w:ind w:left="426" w:right="-20" w:hanging="284"/>
        <w:rPr>
          <w:rFonts w:ascii="Calibri" w:hAnsi="Calibri" w:cs="Roboto Thin"/>
          <w:sz w:val="22"/>
          <w:szCs w:val="20"/>
        </w:rPr>
      </w:pPr>
      <w:r w:rsidRPr="008F3D02">
        <w:rPr>
          <w:rFonts w:ascii="Calibri" w:hAnsi="Calibri"/>
          <w:sz w:val="22"/>
        </w:rPr>
        <w:lastRenderedPageBreak/>
        <w:t>Kontaktné údaje orgánu tretej krajiny alebo skupiny výrobcov, usadených alebo majúcich bydlisko v tretej krajine, ktorí štandardnú zmenu oznamujú Komisii.</w:t>
      </w:r>
    </w:p>
    <w:sectPr w:rsidR="0028331D" w:rsidRPr="008F3D02" w:rsidSect="008A01EB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Thin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33BC1"/>
    <w:multiLevelType w:val="hybridMultilevel"/>
    <w:tmpl w:val="51E89768"/>
    <w:lvl w:ilvl="0" w:tplc="11A07B68">
      <w:start w:val="1"/>
      <w:numFmt w:val="decimal"/>
      <w:lvlText w:val="%1."/>
      <w:lvlJc w:val="left"/>
      <w:pPr>
        <w:ind w:left="1130" w:hanging="511"/>
      </w:pPr>
      <w:rPr>
        <w:rFonts w:ascii="Roboto Thin" w:eastAsia="Roboto Thin" w:hAnsi="Roboto Thin" w:hint="default"/>
        <w:w w:val="99"/>
        <w:sz w:val="19"/>
        <w:szCs w:val="19"/>
      </w:rPr>
    </w:lvl>
    <w:lvl w:ilvl="1" w:tplc="AD80B6C0">
      <w:start w:val="1"/>
      <w:numFmt w:val="bullet"/>
      <w:lvlText w:val="•"/>
      <w:lvlJc w:val="left"/>
      <w:pPr>
        <w:ind w:left="2060" w:hanging="511"/>
      </w:pPr>
      <w:rPr>
        <w:rFonts w:hint="default"/>
      </w:rPr>
    </w:lvl>
    <w:lvl w:ilvl="2" w:tplc="5FF6B540">
      <w:start w:val="1"/>
      <w:numFmt w:val="bullet"/>
      <w:lvlText w:val="•"/>
      <w:lvlJc w:val="left"/>
      <w:pPr>
        <w:ind w:left="2989" w:hanging="511"/>
      </w:pPr>
      <w:rPr>
        <w:rFonts w:hint="default"/>
      </w:rPr>
    </w:lvl>
    <w:lvl w:ilvl="3" w:tplc="F5066A80">
      <w:start w:val="1"/>
      <w:numFmt w:val="bullet"/>
      <w:lvlText w:val="•"/>
      <w:lvlJc w:val="left"/>
      <w:pPr>
        <w:ind w:left="3919" w:hanging="511"/>
      </w:pPr>
      <w:rPr>
        <w:rFonts w:hint="default"/>
      </w:rPr>
    </w:lvl>
    <w:lvl w:ilvl="4" w:tplc="3AA08432">
      <w:start w:val="1"/>
      <w:numFmt w:val="bullet"/>
      <w:lvlText w:val="•"/>
      <w:lvlJc w:val="left"/>
      <w:pPr>
        <w:ind w:left="4848" w:hanging="511"/>
      </w:pPr>
      <w:rPr>
        <w:rFonts w:hint="default"/>
      </w:rPr>
    </w:lvl>
    <w:lvl w:ilvl="5" w:tplc="F8C069FC">
      <w:start w:val="1"/>
      <w:numFmt w:val="bullet"/>
      <w:lvlText w:val="•"/>
      <w:lvlJc w:val="left"/>
      <w:pPr>
        <w:ind w:left="5778" w:hanging="511"/>
      </w:pPr>
      <w:rPr>
        <w:rFonts w:hint="default"/>
      </w:rPr>
    </w:lvl>
    <w:lvl w:ilvl="6" w:tplc="7C5AFAC0">
      <w:start w:val="1"/>
      <w:numFmt w:val="bullet"/>
      <w:lvlText w:val="•"/>
      <w:lvlJc w:val="left"/>
      <w:pPr>
        <w:ind w:left="6707" w:hanging="511"/>
      </w:pPr>
      <w:rPr>
        <w:rFonts w:hint="default"/>
      </w:rPr>
    </w:lvl>
    <w:lvl w:ilvl="7" w:tplc="28187704">
      <w:start w:val="1"/>
      <w:numFmt w:val="bullet"/>
      <w:lvlText w:val="•"/>
      <w:lvlJc w:val="left"/>
      <w:pPr>
        <w:ind w:left="7637" w:hanging="511"/>
      </w:pPr>
      <w:rPr>
        <w:rFonts w:hint="default"/>
      </w:rPr>
    </w:lvl>
    <w:lvl w:ilvl="8" w:tplc="6414B16E">
      <w:start w:val="1"/>
      <w:numFmt w:val="bullet"/>
      <w:lvlText w:val="•"/>
      <w:lvlJc w:val="left"/>
      <w:pPr>
        <w:ind w:left="8566" w:hanging="511"/>
      </w:pPr>
      <w:rPr>
        <w:rFonts w:hint="default"/>
      </w:rPr>
    </w:lvl>
  </w:abstractNum>
  <w:abstractNum w:abstractNumId="1" w15:restartNumberingAfterBreak="0">
    <w:nsid w:val="224B4B08"/>
    <w:multiLevelType w:val="hybridMultilevel"/>
    <w:tmpl w:val="661001F2"/>
    <w:lvl w:ilvl="0" w:tplc="E8BE7972">
      <w:start w:val="1"/>
      <w:numFmt w:val="decimal"/>
      <w:lvlText w:val="%1."/>
      <w:lvlJc w:val="left"/>
      <w:pPr>
        <w:ind w:left="1130" w:hanging="511"/>
      </w:pPr>
      <w:rPr>
        <w:rFonts w:ascii="Roboto Thin" w:eastAsia="Roboto Thin" w:hAnsi="Roboto Thin" w:hint="default"/>
        <w:w w:val="99"/>
        <w:sz w:val="19"/>
        <w:szCs w:val="19"/>
      </w:rPr>
    </w:lvl>
    <w:lvl w:ilvl="1" w:tplc="8EFAA7D2">
      <w:start w:val="1"/>
      <w:numFmt w:val="bullet"/>
      <w:lvlText w:val="•"/>
      <w:lvlJc w:val="left"/>
      <w:pPr>
        <w:ind w:left="2060" w:hanging="511"/>
      </w:pPr>
      <w:rPr>
        <w:rFonts w:hint="default"/>
      </w:rPr>
    </w:lvl>
    <w:lvl w:ilvl="2" w:tplc="B34E390C">
      <w:start w:val="1"/>
      <w:numFmt w:val="bullet"/>
      <w:lvlText w:val="•"/>
      <w:lvlJc w:val="left"/>
      <w:pPr>
        <w:ind w:left="2989" w:hanging="511"/>
      </w:pPr>
      <w:rPr>
        <w:rFonts w:hint="default"/>
      </w:rPr>
    </w:lvl>
    <w:lvl w:ilvl="3" w:tplc="1220C674">
      <w:start w:val="1"/>
      <w:numFmt w:val="bullet"/>
      <w:lvlText w:val="•"/>
      <w:lvlJc w:val="left"/>
      <w:pPr>
        <w:ind w:left="3919" w:hanging="511"/>
      </w:pPr>
      <w:rPr>
        <w:rFonts w:hint="default"/>
      </w:rPr>
    </w:lvl>
    <w:lvl w:ilvl="4" w:tplc="023885B4">
      <w:start w:val="1"/>
      <w:numFmt w:val="bullet"/>
      <w:lvlText w:val="•"/>
      <w:lvlJc w:val="left"/>
      <w:pPr>
        <w:ind w:left="4848" w:hanging="511"/>
      </w:pPr>
      <w:rPr>
        <w:rFonts w:hint="default"/>
      </w:rPr>
    </w:lvl>
    <w:lvl w:ilvl="5" w:tplc="C838B382">
      <w:start w:val="1"/>
      <w:numFmt w:val="bullet"/>
      <w:lvlText w:val="•"/>
      <w:lvlJc w:val="left"/>
      <w:pPr>
        <w:ind w:left="5778" w:hanging="511"/>
      </w:pPr>
      <w:rPr>
        <w:rFonts w:hint="default"/>
      </w:rPr>
    </w:lvl>
    <w:lvl w:ilvl="6" w:tplc="F1F4B0BE">
      <w:start w:val="1"/>
      <w:numFmt w:val="bullet"/>
      <w:lvlText w:val="•"/>
      <w:lvlJc w:val="left"/>
      <w:pPr>
        <w:ind w:left="6707" w:hanging="511"/>
      </w:pPr>
      <w:rPr>
        <w:rFonts w:hint="default"/>
      </w:rPr>
    </w:lvl>
    <w:lvl w:ilvl="7" w:tplc="D526B444">
      <w:start w:val="1"/>
      <w:numFmt w:val="bullet"/>
      <w:lvlText w:val="•"/>
      <w:lvlJc w:val="left"/>
      <w:pPr>
        <w:ind w:left="7637" w:hanging="511"/>
      </w:pPr>
      <w:rPr>
        <w:rFonts w:hint="default"/>
      </w:rPr>
    </w:lvl>
    <w:lvl w:ilvl="8" w:tplc="4C76A2FE">
      <w:start w:val="1"/>
      <w:numFmt w:val="bullet"/>
      <w:lvlText w:val="•"/>
      <w:lvlJc w:val="left"/>
      <w:pPr>
        <w:ind w:left="8566" w:hanging="511"/>
      </w:pPr>
      <w:rPr>
        <w:rFonts w:hint="default"/>
      </w:rPr>
    </w:lvl>
  </w:abstractNum>
  <w:abstractNum w:abstractNumId="2" w15:restartNumberingAfterBreak="0">
    <w:nsid w:val="2FB2045C"/>
    <w:multiLevelType w:val="hybridMultilevel"/>
    <w:tmpl w:val="FD80A81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1925D3A"/>
    <w:multiLevelType w:val="hybridMultilevel"/>
    <w:tmpl w:val="9DF4132C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1D"/>
    <w:rsid w:val="0028331D"/>
    <w:rsid w:val="003172C0"/>
    <w:rsid w:val="003217F6"/>
    <w:rsid w:val="0052438B"/>
    <w:rsid w:val="008A01EB"/>
    <w:rsid w:val="008F3D02"/>
    <w:rsid w:val="00B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85FC"/>
  <w15:docId w15:val="{A1FD3396-3187-4AE9-BEB7-7B4EB64B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uiPriority w:val="9"/>
    <w:qFormat/>
    <w:pPr>
      <w:ind w:left="1130" w:hanging="510"/>
      <w:outlineLvl w:val="0"/>
    </w:pPr>
    <w:rPr>
      <w:rFonts w:ascii="Book Antiqua" w:eastAsia="Book Antiqua" w:hAnsi="Book Antiqua"/>
      <w:b/>
      <w:bCs/>
      <w:sz w:val="19"/>
      <w:szCs w:val="19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130"/>
    </w:pPr>
    <w:rPr>
      <w:rFonts w:ascii="Roboto Thin" w:eastAsia="Roboto Thin" w:hAnsi="Roboto Thin"/>
      <w:sz w:val="19"/>
      <w:szCs w:val="19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table" w:styleId="Mriekatabuky">
    <w:name w:val="Table Grid"/>
    <w:basedOn w:val="Normlnatabuka"/>
    <w:uiPriority w:val="39"/>
    <w:rsid w:val="008A0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9E5CE-1B94-4A03-AAFF-19055080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Vykonávacie nariadenie Komisie (EÚ) 2025/26 z 30. októbra 2024, ktorým sa stanovujú pravidlá uplatňovania nariadenia Európskeho parlamentu a Rady (EÚ) 2024/1143, pokiaľ ide o zápisy zemepisných označení a zaručených tradičných špecialít do registra, ich z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Vykonávacie nariadenie Komisie (EÚ) 2025/26 z 30. októbra 2024, ktorým sa stanovujú pravidlá uplatňovania nariadenia Európskeho parlamentu a Rady (EÚ) 2024/1143, pokiaľ ide o zápisy zemepisných označení a zaručených tradičných špecialít do registra, ich zmeny, zrušenia, presadzovanie ochrany, označovanie a komunikáciu, a ktorým sa mení vykonávacie nariadenie (EÚ) 2019/34, pokiaľ ide o zemepisné označenia v sektore vinohradníctva a vinárstva, a ktorým sa zrušujú vykonávacie nariadenia (EÚ) č. 668/2014 a (EÚ) 2021/1236</dc:title>
  <dc:subject>II Nelegislatívne akty, Nariadenia</dc:subject>
  <dc:creator>Úrad pre vydávanie publikácií Európskej únie, L-2985 Luxemburg</dc:creator>
  <cp:lastModifiedBy>Mgr. Janka Oravcová</cp:lastModifiedBy>
  <cp:revision>2</cp:revision>
  <dcterms:created xsi:type="dcterms:W3CDTF">2025-02-19T11:38:00Z</dcterms:created>
  <dcterms:modified xsi:type="dcterms:W3CDTF">2025-02-19T11:38:00Z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LastSaved">
    <vt:filetime>2025-02-13T00:00:00Z</vt:filetime>
  </property>
</Properties>
</file>