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E1D0" w14:textId="77777777" w:rsidR="00203B58" w:rsidRPr="007E50FE" w:rsidRDefault="00FC2ADA" w:rsidP="007E50FE">
      <w:pPr>
        <w:ind w:right="-20"/>
        <w:jc w:val="center"/>
        <w:rPr>
          <w:rFonts w:ascii="Calibri" w:eastAsia="Book Antiqua" w:hAnsi="Calibri" w:cs="Book Antiqua"/>
          <w:sz w:val="28"/>
          <w:szCs w:val="28"/>
        </w:rPr>
      </w:pPr>
      <w:r w:rsidRPr="007E50FE">
        <w:rPr>
          <w:rFonts w:ascii="Calibri" w:hAnsi="Calibri"/>
          <w:b/>
          <w:sz w:val="28"/>
          <w:szCs w:val="28"/>
        </w:rPr>
        <w:t>OZNÁMENIE O SCHVÁLENÍ DOČASNEJ ZMENY</w:t>
      </w:r>
    </w:p>
    <w:p w14:paraId="3313A7A7" w14:textId="77777777" w:rsidR="00203B58" w:rsidRPr="007E50FE" w:rsidRDefault="00203B58" w:rsidP="007E50FE">
      <w:pPr>
        <w:ind w:right="-20"/>
        <w:rPr>
          <w:rFonts w:ascii="Calibri" w:eastAsia="Book Antiqua" w:hAnsi="Calibri" w:cs="Book Antiqua"/>
          <w:b/>
          <w:bCs/>
          <w:szCs w:val="14"/>
        </w:rPr>
      </w:pPr>
    </w:p>
    <w:p w14:paraId="14138943" w14:textId="77777777" w:rsidR="00203B58" w:rsidRPr="007E50FE" w:rsidRDefault="00FC2ADA" w:rsidP="007E50FE">
      <w:pPr>
        <w:pStyle w:val="Nadpis1"/>
        <w:ind w:left="0" w:right="-20" w:firstLine="0"/>
        <w:jc w:val="center"/>
        <w:rPr>
          <w:rFonts w:ascii="Calibri" w:hAnsi="Calibri"/>
          <w:b w:val="0"/>
          <w:bCs w:val="0"/>
          <w:sz w:val="22"/>
        </w:rPr>
      </w:pPr>
      <w:r w:rsidRPr="007E50FE">
        <w:rPr>
          <w:rFonts w:ascii="Calibri" w:hAnsi="Calibri"/>
          <w:sz w:val="22"/>
        </w:rPr>
        <w:t>[článok 24 nariadenia (EÚ) 2024/1143]</w:t>
      </w:r>
    </w:p>
    <w:p w14:paraId="4C858FC7" w14:textId="10DDEE9D" w:rsidR="00203B58" w:rsidRPr="00D32D28" w:rsidRDefault="00203B58" w:rsidP="007E50FE">
      <w:pPr>
        <w:ind w:right="-20"/>
        <w:rPr>
          <w:rFonts w:ascii="Calibri" w:eastAsia="Book Antiqua" w:hAnsi="Calibri" w:cs="Book Antiqua"/>
          <w:szCs w:val="15"/>
        </w:rPr>
      </w:pPr>
    </w:p>
    <w:p w14:paraId="2D17B3CF" w14:textId="0159DD93" w:rsidR="007E50FE" w:rsidRPr="007E50FE" w:rsidRDefault="007E50FE" w:rsidP="007E50FE">
      <w:pPr>
        <w:ind w:right="-20"/>
        <w:rPr>
          <w:rFonts w:ascii="Calibri" w:eastAsia="Book Antiqua" w:hAnsi="Calibri" w:cs="Book Antiqua"/>
          <w:szCs w:val="15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3142BE40" w14:textId="77777777" w:rsidTr="00A22695">
        <w:tc>
          <w:tcPr>
            <w:tcW w:w="563" w:type="dxa"/>
          </w:tcPr>
          <w:p w14:paraId="6AA0CF14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36352E6C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>Názov výrobku</w:t>
            </w:r>
          </w:p>
        </w:tc>
      </w:tr>
      <w:tr w:rsidR="007E50FE" w:rsidRPr="007E50FE" w14:paraId="2E235CBE" w14:textId="77777777" w:rsidTr="00A22695">
        <w:tc>
          <w:tcPr>
            <w:tcW w:w="563" w:type="dxa"/>
          </w:tcPr>
          <w:p w14:paraId="68896EFF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B740CFE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7E50FE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7E50FE" w:rsidRPr="007E50FE" w14:paraId="43D8494B" w14:textId="77777777" w:rsidTr="00A22695">
        <w:tc>
          <w:tcPr>
            <w:tcW w:w="563" w:type="dxa"/>
          </w:tcPr>
          <w:p w14:paraId="1DA9B13A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200CD7F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7E50F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7E50FE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znení zapísanom do registra</w:t>
            </w:r>
            <w:r w:rsidRPr="007E50F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5B809903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6F7AEEF7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211E1888" w14:textId="77777777" w:rsidTr="00A22695">
        <w:tc>
          <w:tcPr>
            <w:tcW w:w="563" w:type="dxa"/>
          </w:tcPr>
          <w:p w14:paraId="5A2E62A1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408A9FB7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7E50FE" w:rsidRPr="007E50FE" w14:paraId="1725135E" w14:textId="77777777" w:rsidTr="00A22695">
        <w:tc>
          <w:tcPr>
            <w:tcW w:w="563" w:type="dxa"/>
          </w:tcPr>
          <w:p w14:paraId="1A9FE636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34F6011" w14:textId="08ED4F4F" w:rsidR="007E50FE" w:rsidRPr="007E50FE" w:rsidRDefault="007E50FE" w:rsidP="00A22695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7E50FE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7E50FE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7E50FE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7E50FE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7E50FE">
              <w:rPr>
                <w:rFonts w:ascii="Calibri" w:hAnsi="Calibri"/>
              </w:rPr>
              <w:t xml:space="preserve">CHOP  </w:t>
            </w:r>
            <w:r w:rsidR="001556E8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6E8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="001556E8">
              <w:rPr>
                <w:sz w:val="16"/>
              </w:rPr>
              <w:fldChar w:fldCharType="end"/>
            </w:r>
            <w:r w:rsidRPr="007E50FE">
              <w:rPr>
                <w:rFonts w:ascii="Calibri" w:hAnsi="Calibri"/>
              </w:rPr>
              <w:tab/>
              <w:t xml:space="preserve">CHZO  </w:t>
            </w:r>
            <w:r w:rsidR="001556E8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6E8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="001556E8">
              <w:rPr>
                <w:sz w:val="16"/>
              </w:rPr>
              <w:fldChar w:fldCharType="end"/>
            </w:r>
            <w:r w:rsidRPr="007E50FE">
              <w:rPr>
                <w:sz w:val="16"/>
              </w:rPr>
              <w:tab/>
            </w:r>
            <w:r w:rsidRPr="007E50FE">
              <w:rPr>
                <w:rFonts w:ascii="Calibri" w:hAnsi="Calibri"/>
              </w:rPr>
              <w:t xml:space="preserve">ZO  </w:t>
            </w:r>
            <w:r w:rsidRPr="007E50F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0FE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Pr="007E50FE">
              <w:rPr>
                <w:sz w:val="16"/>
              </w:rPr>
              <w:fldChar w:fldCharType="end"/>
            </w:r>
          </w:p>
        </w:tc>
      </w:tr>
    </w:tbl>
    <w:p w14:paraId="0464B08E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25D5F2EE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0B7C3835" w14:textId="77777777" w:rsidTr="00A22695">
        <w:tc>
          <w:tcPr>
            <w:tcW w:w="563" w:type="dxa"/>
          </w:tcPr>
          <w:p w14:paraId="1BD568E8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65265AF4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7E50FE" w:rsidRPr="007E50FE" w14:paraId="0786CD08" w14:textId="77777777" w:rsidTr="00A22695">
        <w:tc>
          <w:tcPr>
            <w:tcW w:w="563" w:type="dxa"/>
          </w:tcPr>
          <w:p w14:paraId="3784FC81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3D7C3FF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7E50FE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7E50FE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7E50FE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7E50FE" w:rsidRPr="007E50FE" w14:paraId="612796FA" w14:textId="77777777" w:rsidTr="00A22695">
        <w:tc>
          <w:tcPr>
            <w:tcW w:w="563" w:type="dxa"/>
          </w:tcPr>
          <w:p w14:paraId="597452A5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E935A42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7E50F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0FE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Pr="007E50FE">
              <w:rPr>
                <w:sz w:val="16"/>
              </w:rPr>
              <w:fldChar w:fldCharType="end"/>
            </w:r>
            <w:r w:rsidRPr="007E50FE">
              <w:t xml:space="preserve">  </w:t>
            </w:r>
            <w:r w:rsidRPr="007E50FE">
              <w:rPr>
                <w:rFonts w:ascii="Calibri" w:eastAsia="Roboto Thin" w:hAnsi="Calibri" w:cs="Roboto Thin"/>
              </w:rPr>
              <w:t>poľnohospodárske výrobky</w:t>
            </w:r>
          </w:p>
          <w:p w14:paraId="55FA7968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7E50F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0FE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Pr="007E50FE">
              <w:rPr>
                <w:sz w:val="16"/>
              </w:rPr>
              <w:fldChar w:fldCharType="end"/>
            </w:r>
            <w:r w:rsidRPr="007E50FE">
              <w:t xml:space="preserve">  vína</w:t>
            </w:r>
          </w:p>
          <w:p w14:paraId="0510660C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7E50F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0FE">
              <w:rPr>
                <w:sz w:val="16"/>
              </w:rPr>
              <w:instrText xml:space="preserve"> FORMCHECKBOX </w:instrText>
            </w:r>
            <w:r w:rsidR="005364F5">
              <w:rPr>
                <w:sz w:val="16"/>
              </w:rPr>
            </w:r>
            <w:r w:rsidR="005364F5">
              <w:rPr>
                <w:sz w:val="16"/>
              </w:rPr>
              <w:fldChar w:fldCharType="separate"/>
            </w:r>
            <w:r w:rsidRPr="007E50FE">
              <w:rPr>
                <w:sz w:val="16"/>
              </w:rPr>
              <w:fldChar w:fldCharType="end"/>
            </w:r>
            <w:r w:rsidRPr="007E50FE">
              <w:t xml:space="preserve">  liehoviny</w:t>
            </w:r>
          </w:p>
        </w:tc>
      </w:tr>
    </w:tbl>
    <w:p w14:paraId="46D7CCA3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5FD25E8E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19534EB6" w14:textId="77777777" w:rsidTr="00A22695">
        <w:tc>
          <w:tcPr>
            <w:tcW w:w="563" w:type="dxa"/>
          </w:tcPr>
          <w:p w14:paraId="24826985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9799" w:type="dxa"/>
          </w:tcPr>
          <w:p w14:paraId="3A16D76D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>Tretia krajina, ku ktorej zemepisná oblasť patrí</w:t>
            </w:r>
          </w:p>
        </w:tc>
      </w:tr>
      <w:tr w:rsidR="007E50FE" w:rsidRPr="007E50FE" w14:paraId="3D430B59" w14:textId="77777777" w:rsidTr="00A22695">
        <w:tc>
          <w:tcPr>
            <w:tcW w:w="563" w:type="dxa"/>
          </w:tcPr>
          <w:p w14:paraId="2BFF54FD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D6C4293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7E50FE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5017183E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2109E43B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067B16B6" w14:textId="77777777" w:rsidTr="00A22695">
        <w:tc>
          <w:tcPr>
            <w:tcW w:w="563" w:type="dxa"/>
          </w:tcPr>
          <w:p w14:paraId="13857FE1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5.</w:t>
            </w:r>
          </w:p>
        </w:tc>
        <w:tc>
          <w:tcPr>
            <w:tcW w:w="9799" w:type="dxa"/>
          </w:tcPr>
          <w:p w14:paraId="0387A96B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>Názov orgánov tretej krajiny alebo skupiny výrobcov, usadených alebo majúcich bydlisko v tretej krajine, ktorí štandardnú zmenu oznamujú Komisii</w:t>
            </w:r>
          </w:p>
        </w:tc>
      </w:tr>
      <w:tr w:rsidR="007E50FE" w:rsidRPr="007E50FE" w14:paraId="7CA8ED8B" w14:textId="77777777" w:rsidTr="00A22695">
        <w:tc>
          <w:tcPr>
            <w:tcW w:w="563" w:type="dxa"/>
          </w:tcPr>
          <w:p w14:paraId="3B22F75E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778B447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7E50FE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77ADE0F5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649C13C2" w14:textId="77777777" w:rsidR="007E50FE" w:rsidRPr="007E50FE" w:rsidRDefault="007E50FE" w:rsidP="007E50F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7E50FE" w:rsidRPr="007E50FE" w14:paraId="09B38262" w14:textId="77777777" w:rsidTr="00A22695">
        <w:tc>
          <w:tcPr>
            <w:tcW w:w="563" w:type="dxa"/>
          </w:tcPr>
          <w:p w14:paraId="143275C0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eastAsia="Roboto" w:hAnsi="Calibri" w:cs="Roboto"/>
                <w:b/>
                <w:bCs/>
              </w:rPr>
              <w:t>6.</w:t>
            </w:r>
          </w:p>
        </w:tc>
        <w:tc>
          <w:tcPr>
            <w:tcW w:w="9799" w:type="dxa"/>
          </w:tcPr>
          <w:p w14:paraId="6EDC04DD" w14:textId="221C22AA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7E50FE">
              <w:rPr>
                <w:rFonts w:ascii="Calibri" w:hAnsi="Calibri"/>
                <w:b/>
                <w:bCs/>
              </w:rPr>
              <w:t>Opis schválenej dočasnej zmeny (schválených dočasných zmien)</w:t>
            </w:r>
          </w:p>
        </w:tc>
      </w:tr>
      <w:tr w:rsidR="007E50FE" w:rsidRPr="007E50FE" w14:paraId="25106473" w14:textId="77777777" w:rsidTr="00A22695">
        <w:tc>
          <w:tcPr>
            <w:tcW w:w="563" w:type="dxa"/>
          </w:tcPr>
          <w:p w14:paraId="469D92E3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618EB87" w14:textId="7777777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7E50FE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7E50FE" w:rsidRPr="007E50FE" w14:paraId="5DE5853E" w14:textId="77777777" w:rsidTr="00A22695">
        <w:tc>
          <w:tcPr>
            <w:tcW w:w="563" w:type="dxa"/>
          </w:tcPr>
          <w:p w14:paraId="00EA516B" w14:textId="77777777" w:rsidR="007E50FE" w:rsidRPr="007E50FE" w:rsidRDefault="007E50FE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8422DD8" w14:textId="286BEEC7" w:rsidR="007E50FE" w:rsidRPr="007E50FE" w:rsidRDefault="007E50FE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7E50F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1556E8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 xml:space="preserve">Uveďte opis a konkrétne dôvody pre dočasné zmeny s odkazom na formálne uznanie prírodnej katastrofy alebo nepriaznivých poveternostných podmienok alebo výrazného narušenia trhu v dôsledku výnimočných okolností vrátane geopolitických udalostí, ktoré ovplyvňujú dodávky surovín alebo na uloženie povinných sanitárnych a </w:t>
            </w:r>
            <w:proofErr w:type="spellStart"/>
            <w:r w:rsidRPr="001556E8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>fytosanitárnych</w:t>
            </w:r>
            <w:proofErr w:type="spellEnd"/>
            <w:r w:rsidRPr="001556E8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 xml:space="preserve"> opatrení príslušnými orgánmi.</w:t>
            </w:r>
            <w:r w:rsidRPr="007E50F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493595A8" w14:textId="4FB41BFD" w:rsid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4BA28EA1" w14:textId="36468889" w:rsid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4AF0C5A3" w14:textId="11DADE33" w:rsid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148B1828" w14:textId="33E5B05F" w:rsidR="007E50FE" w:rsidRDefault="007E50FE" w:rsidP="007E50FE">
      <w:pPr>
        <w:ind w:left="120"/>
        <w:rPr>
          <w:rFonts w:ascii="Calibri" w:eastAsia="Roboto Thin" w:hAnsi="Calibri" w:cs="Roboto Thin"/>
        </w:rPr>
      </w:pPr>
    </w:p>
    <w:p w14:paraId="0DABEE27" w14:textId="55DEF2F9" w:rsidR="007E50FE" w:rsidRDefault="007E50FE" w:rsidP="001556E8">
      <w:pPr>
        <w:spacing w:beforeLines="45" w:before="108" w:afterLines="45" w:after="108"/>
        <w:ind w:left="120"/>
        <w:rPr>
          <w:rFonts w:ascii="Calibri" w:hAnsi="Calibri"/>
          <w:b/>
          <w:bCs/>
        </w:rPr>
      </w:pPr>
      <w:r w:rsidRPr="007E50FE">
        <w:rPr>
          <w:rFonts w:ascii="Calibri" w:hAnsi="Calibri"/>
          <w:b/>
          <w:bCs/>
        </w:rPr>
        <w:t>Prílohy</w:t>
      </w:r>
    </w:p>
    <w:p w14:paraId="0922DDF0" w14:textId="77777777" w:rsidR="00203B58" w:rsidRPr="007E50FE" w:rsidRDefault="00FC2ADA" w:rsidP="001556E8">
      <w:pPr>
        <w:pStyle w:val="Zkladntext"/>
        <w:numPr>
          <w:ilvl w:val="0"/>
          <w:numId w:val="3"/>
        </w:numPr>
        <w:tabs>
          <w:tab w:val="left" w:pos="1131"/>
        </w:tabs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7E50FE">
        <w:rPr>
          <w:rFonts w:ascii="Calibri" w:hAnsi="Calibri"/>
          <w:sz w:val="22"/>
        </w:rPr>
        <w:t>Rozhodnutie schvaľujúce dočasnú zmenu prijaté v tretej krajine.</w:t>
      </w:r>
    </w:p>
    <w:p w14:paraId="012FA727" w14:textId="77777777" w:rsidR="00203B58" w:rsidRPr="007E50FE" w:rsidRDefault="00FC2ADA" w:rsidP="001556E8">
      <w:pPr>
        <w:pStyle w:val="Zkladntext"/>
        <w:numPr>
          <w:ilvl w:val="0"/>
          <w:numId w:val="3"/>
        </w:numPr>
        <w:tabs>
          <w:tab w:val="left" w:pos="1131"/>
        </w:tabs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7E50FE">
        <w:rPr>
          <w:rFonts w:ascii="Calibri" w:hAnsi="Calibri"/>
          <w:sz w:val="22"/>
        </w:rPr>
        <w:t xml:space="preserve">Rozhodnutie príslušných orgánov, ktorým sa ukladajú povinné sanitárne alebo </w:t>
      </w:r>
      <w:proofErr w:type="spellStart"/>
      <w:r w:rsidRPr="007E50FE">
        <w:rPr>
          <w:rFonts w:ascii="Calibri" w:hAnsi="Calibri"/>
          <w:sz w:val="22"/>
        </w:rPr>
        <w:t>fytosanitárne</w:t>
      </w:r>
      <w:proofErr w:type="spellEnd"/>
      <w:r w:rsidRPr="007E50FE">
        <w:rPr>
          <w:rFonts w:ascii="Calibri" w:hAnsi="Calibri"/>
          <w:sz w:val="22"/>
        </w:rPr>
        <w:t xml:space="preserve"> opatrenia alebo sa formálne uznáva prírodná katastrofa alebo nepriaznivé poveternostné podmienky, alebo výrazné narušenie trhu v dôsledku výnimočných okolností a ovplyvňujú sa dodávky surovín.</w:t>
      </w:r>
    </w:p>
    <w:p w14:paraId="69935E85" w14:textId="77777777" w:rsidR="00203B58" w:rsidRPr="007E50FE" w:rsidRDefault="00FC2ADA" w:rsidP="001556E8">
      <w:pPr>
        <w:pStyle w:val="Zkladntext"/>
        <w:numPr>
          <w:ilvl w:val="0"/>
          <w:numId w:val="3"/>
        </w:numPr>
        <w:tabs>
          <w:tab w:val="left" w:pos="1131"/>
        </w:tabs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7E50FE">
        <w:rPr>
          <w:rFonts w:ascii="Calibri" w:hAnsi="Calibri"/>
          <w:sz w:val="22"/>
        </w:rPr>
        <w:t>Dôkaz, že zmena je uplatniteľná v tretej krajine.</w:t>
      </w:r>
    </w:p>
    <w:p w14:paraId="28671374" w14:textId="77777777" w:rsidR="00203B58" w:rsidRPr="007E50FE" w:rsidRDefault="00FC2ADA" w:rsidP="001556E8">
      <w:pPr>
        <w:pStyle w:val="Zkladntext"/>
        <w:numPr>
          <w:ilvl w:val="0"/>
          <w:numId w:val="3"/>
        </w:numPr>
        <w:tabs>
          <w:tab w:val="left" w:pos="1131"/>
        </w:tabs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7E50FE">
        <w:rPr>
          <w:rFonts w:ascii="Calibri" w:hAnsi="Calibri"/>
          <w:sz w:val="22"/>
        </w:rPr>
        <w:t>Kontaktné údaje orgánu tretej krajiny alebo skupiny výrobcov, usadených alebo majúcich bydlisko v tretej krajine, ktorí dočasnú zmenu oznamujú Komisii.</w:t>
      </w:r>
    </w:p>
    <w:sectPr w:rsidR="00203B58" w:rsidRPr="007E50FE" w:rsidSect="007E50FE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71E9"/>
    <w:multiLevelType w:val="hybridMultilevel"/>
    <w:tmpl w:val="7D26AA2A"/>
    <w:lvl w:ilvl="0" w:tplc="900E09E6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2B862086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FCEA5220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0C9619CE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6B563A36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7898F9F2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3E0A800C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B31482A4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667E8A88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abstractNum w:abstractNumId="1" w15:restartNumberingAfterBreak="0">
    <w:nsid w:val="6EE34A63"/>
    <w:multiLevelType w:val="hybridMultilevel"/>
    <w:tmpl w:val="174658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5642F"/>
    <w:multiLevelType w:val="hybridMultilevel"/>
    <w:tmpl w:val="65CEEE3A"/>
    <w:lvl w:ilvl="0" w:tplc="D906770E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F5962314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29EA7C58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B866B1F8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195EB478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112E53EC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0832E582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61A439E8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F3BC1A78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8"/>
    <w:rsid w:val="001556E8"/>
    <w:rsid w:val="00203B58"/>
    <w:rsid w:val="005364F5"/>
    <w:rsid w:val="007E50FE"/>
    <w:rsid w:val="00D32D28"/>
    <w:rsid w:val="00F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6AD7"/>
  <w15:docId w15:val="{A1FD3396-3187-4AE9-BEB7-7B4EB64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0"/>
      <w:outlineLvl w:val="0"/>
    </w:pPr>
    <w:rPr>
      <w:rFonts w:ascii="Book Antiqua" w:eastAsia="Book Antiqua" w:hAnsi="Book Antiqua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Roboto Thin" w:eastAsia="Roboto Thin" w:hAnsi="Roboto Thin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7E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2025-02-19T11:39:00Z</dcterms:created>
  <dcterms:modified xsi:type="dcterms:W3CDTF">2025-02-19T11:39:00Z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